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43"/>
        <w:tblW w:w="10666" w:type="dxa"/>
        <w:tblLook w:val="01E0" w:firstRow="1" w:lastRow="1" w:firstColumn="1" w:lastColumn="1" w:noHBand="0" w:noVBand="0"/>
      </w:tblPr>
      <w:tblGrid>
        <w:gridCol w:w="4500"/>
        <w:gridCol w:w="1982"/>
        <w:gridCol w:w="4184"/>
      </w:tblGrid>
      <w:tr w:rsidR="002B61D1" w:rsidTr="00B47C21">
        <w:trPr>
          <w:trHeight w:val="2360"/>
        </w:trPr>
        <w:tc>
          <w:tcPr>
            <w:tcW w:w="4500" w:type="dxa"/>
          </w:tcPr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bCs/>
                <w:i/>
                <w:iCs/>
              </w:rPr>
              <w:t>?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О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РТОСТАН РЕСПУБЛИКА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¹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Ы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МИШК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РАЙОНЫ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МУНИЦИПАЛЬ РАЙОНЫНЫ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*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</w:rPr>
              <w:t>И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(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КЕ АРЗАМАТ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АУЫЛ СОВЕТЫ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АУЫЛ БИ</w:t>
            </w: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</w:rPr>
              <w:t>Л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М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"¹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Е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ХАКИМИ</w:t>
            </w:r>
            <w:proofErr w:type="gramStart"/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Т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Е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2B61D1" w:rsidRDefault="002B61D1" w:rsidP="00B47C21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2B61D1" w:rsidRDefault="002B61D1" w:rsidP="00B47C21">
            <w:pPr>
              <w:jc w:val="center"/>
              <w:rPr>
                <w:b/>
                <w:bCs/>
                <w:i/>
                <w:iCs/>
              </w:rPr>
            </w:pPr>
          </w:p>
          <w:p w:rsidR="002B61D1" w:rsidRDefault="002B61D1" w:rsidP="00B47C21">
            <w:pPr>
              <w:tabs>
                <w:tab w:val="left" w:pos="264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</w:p>
        </w:tc>
        <w:tc>
          <w:tcPr>
            <w:tcW w:w="1982" w:type="dxa"/>
          </w:tcPr>
          <w:p w:rsidR="002B61D1" w:rsidRDefault="002B61D1" w:rsidP="00B47C21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2B61D1" w:rsidRDefault="002B61D1" w:rsidP="00B47C21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2B61D1" w:rsidRDefault="002B61D1" w:rsidP="00B47C21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2B61D1" w:rsidRDefault="002B61D1" w:rsidP="00B47C21">
            <w:pPr>
              <w:ind w:right="-10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51C0BE9" wp14:editId="1001B09B">
                  <wp:extent cx="1152525" cy="1371600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B61D1" w:rsidRDefault="002B61D1" w:rsidP="00B47C21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2B61D1" w:rsidRDefault="002B61D1" w:rsidP="00B47C21">
            <w:pPr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  <w:p w:rsidR="002B61D1" w:rsidRDefault="002B61D1" w:rsidP="00B47C21">
            <w:pPr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2B61D1" w:rsidRDefault="002B61D1" w:rsidP="00B47C21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АДМИНИСТРАЦИЯ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СЕЛЬСКОГО ПОСЕЛЕНИЯ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СТАРОАРЗАМАТОВСКИЙ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СЕЛЬСОВЕТ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МУНИЦИПАЛЬНОГО РАЙОНА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МИШКИНСКИЙ РАЙОН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РЕСПУБЛИКИ БАШКОРТОСТАН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Малонакаряково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ул. Ленина, 8 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  <w:t xml:space="preserve"> </w:t>
            </w:r>
          </w:p>
          <w:p w:rsidR="002B61D1" w:rsidRDefault="002B61D1" w:rsidP="00B47C2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  <w:p w:rsidR="002B61D1" w:rsidRDefault="002B61D1" w:rsidP="00B47C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2B61D1" w:rsidRDefault="002B61D1" w:rsidP="002B6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rFonts w:ascii="ER Bukinist Bashkir" w:hAnsi="ER Bukinist Bashk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E8FDF" wp14:editId="0AE23349">
            <wp:simplePos x="0" y="0"/>
            <wp:positionH relativeFrom="column">
              <wp:posOffset>-723900</wp:posOffset>
            </wp:positionH>
            <wp:positionV relativeFrom="paragraph">
              <wp:posOffset>1749425</wp:posOffset>
            </wp:positionV>
            <wp:extent cx="7086600" cy="114300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DF5">
        <w:rPr>
          <w:rFonts w:ascii="ER Bukinist Bashkir" w:hAnsi="ER Bukinist Bashkir"/>
        </w:rPr>
        <w:t xml:space="preserve"> </w:t>
      </w:r>
      <w:r>
        <w:rPr>
          <w:rFonts w:ascii="ER Bukinist Bashkir" w:hAnsi="ER Bukinist Bashkir"/>
          <w:lang w:val="en-US"/>
        </w:rPr>
        <w:t>K</w:t>
      </w:r>
      <w:r>
        <w:rPr>
          <w:rFonts w:ascii="ER Bukinist Bashkir" w:hAnsi="ER Bukinist Bashkir"/>
        </w:rPr>
        <w:t>АРАР</w:t>
      </w:r>
      <w:r>
        <w:rPr>
          <w:rFonts w:ascii="ER Bukinist Bashkir" w:hAnsi="ER Bukinist Bashkir"/>
        </w:rPr>
        <w:tab/>
        <w:t xml:space="preserve">                                                                     </w:t>
      </w:r>
      <w:r>
        <w:rPr>
          <w:rFonts w:ascii="ER Bukinist Bashkir" w:hAnsi="ER Bukinist Bashkir"/>
        </w:rPr>
        <w:tab/>
      </w:r>
      <w:r>
        <w:rPr>
          <w:rFonts w:ascii="ER Bukinist Bashkir" w:hAnsi="ER Bukinist Bashkir"/>
        </w:rPr>
        <w:tab/>
        <w:t xml:space="preserve">          ПОСТАНОВЛЕНИЕ</w:t>
      </w:r>
      <w:r>
        <w:rPr>
          <w:rFonts w:ascii="ER Bukinist Bashkir" w:hAnsi="ER Bukinist Bashkir"/>
        </w:rPr>
        <w:tab/>
      </w:r>
    </w:p>
    <w:p w:rsidR="002B61D1" w:rsidRPr="00662CAB" w:rsidRDefault="002B61D1" w:rsidP="002B61D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B61D1" w:rsidRDefault="002B61D1" w:rsidP="002B61D1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09 январь    </w:t>
      </w:r>
      <w:r>
        <w:rPr>
          <w:sz w:val="28"/>
          <w:szCs w:val="28"/>
        </w:rPr>
        <w:tab/>
        <w:t xml:space="preserve">                 № 02                                09 января 2023 года</w:t>
      </w: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2B61D1" w:rsidRPr="00AE5EBB" w:rsidRDefault="002B61D1" w:rsidP="002B61D1">
      <w:pPr>
        <w:tabs>
          <w:tab w:val="left" w:pos="4040"/>
        </w:tabs>
        <w:jc w:val="center"/>
        <w:rPr>
          <w:b/>
          <w:sz w:val="28"/>
          <w:szCs w:val="28"/>
        </w:rPr>
      </w:pPr>
      <w:r w:rsidRPr="00AE5EBB">
        <w:rPr>
          <w:b/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>
        <w:rPr>
          <w:b/>
          <w:sz w:val="28"/>
          <w:szCs w:val="28"/>
        </w:rPr>
        <w:t>Староарзаматовский</w:t>
      </w:r>
      <w:proofErr w:type="spellEnd"/>
      <w:r w:rsidRPr="00AE5EB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 w:rsidRPr="00AE5EBB">
        <w:rPr>
          <w:b/>
          <w:sz w:val="28"/>
          <w:szCs w:val="28"/>
        </w:rPr>
        <w:t xml:space="preserve"> район Республики Башкортостан.</w:t>
      </w: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Pr="00AE5EBB" w:rsidRDefault="002B61D1" w:rsidP="002B61D1">
      <w:pPr>
        <w:tabs>
          <w:tab w:val="left" w:pos="40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5EBB">
        <w:rPr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 w:rsidRPr="00AE5EBB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AE5EBB">
        <w:rPr>
          <w:sz w:val="28"/>
          <w:szCs w:val="28"/>
        </w:rPr>
        <w:t xml:space="preserve"> район Республики Башкортостан ПОСТАНОВЛЯЕТ: </w:t>
      </w: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Pr="00AE5EBB" w:rsidRDefault="002B61D1" w:rsidP="002B61D1">
      <w:pPr>
        <w:tabs>
          <w:tab w:val="left" w:pos="4040"/>
        </w:tabs>
        <w:rPr>
          <w:sz w:val="28"/>
          <w:szCs w:val="28"/>
        </w:rPr>
      </w:pPr>
      <w:r w:rsidRPr="00AE5EBB">
        <w:rPr>
          <w:sz w:val="28"/>
          <w:szCs w:val="28"/>
        </w:rPr>
        <w:t xml:space="preserve">1. 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 w:rsidRPr="00AE5EBB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AE5EBB">
        <w:rPr>
          <w:sz w:val="28"/>
          <w:szCs w:val="28"/>
        </w:rPr>
        <w:t xml:space="preserve"> район Республики Башкортостан. </w:t>
      </w: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Pr="00AE5EBB" w:rsidRDefault="002B61D1" w:rsidP="002B61D1">
      <w:pPr>
        <w:tabs>
          <w:tab w:val="left" w:pos="4040"/>
        </w:tabs>
        <w:rPr>
          <w:sz w:val="28"/>
          <w:szCs w:val="28"/>
        </w:rPr>
      </w:pPr>
      <w:r w:rsidRPr="00AE5EBB">
        <w:rPr>
          <w:sz w:val="28"/>
          <w:szCs w:val="28"/>
        </w:rPr>
        <w:t xml:space="preserve">2. </w:t>
      </w:r>
      <w:proofErr w:type="gramStart"/>
      <w:r w:rsidRPr="00AE5EBB">
        <w:rPr>
          <w:sz w:val="28"/>
          <w:szCs w:val="28"/>
        </w:rPr>
        <w:t>Контроль за</w:t>
      </w:r>
      <w:proofErr w:type="gramEnd"/>
      <w:r w:rsidRPr="00AE5EB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  <w:r w:rsidRPr="00AE5EBB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С.Н.Саликов</w:t>
      </w:r>
      <w:proofErr w:type="spellEnd"/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rPr>
          <w:sz w:val="28"/>
          <w:szCs w:val="28"/>
        </w:rPr>
      </w:pPr>
    </w:p>
    <w:p w:rsidR="002B61D1" w:rsidRDefault="002B61D1" w:rsidP="002B61D1">
      <w:pPr>
        <w:tabs>
          <w:tab w:val="left" w:pos="4040"/>
        </w:tabs>
        <w:jc w:val="right"/>
      </w:pPr>
      <w:r>
        <w:lastRenderedPageBreak/>
        <w:t xml:space="preserve">Утвержден                                                                                                                             постановлением администрации                                                                                                   сельского поселения                                                                                                                  </w:t>
      </w:r>
      <w:proofErr w:type="spellStart"/>
      <w:r>
        <w:t>Староарзаматовский</w:t>
      </w:r>
      <w:proofErr w:type="spellEnd"/>
      <w:r>
        <w:t xml:space="preserve"> сельсовет                                                                                              муниципального района                                                                                                             </w:t>
      </w:r>
      <w:proofErr w:type="spellStart"/>
      <w:r>
        <w:t>Мишкинский</w:t>
      </w:r>
      <w:proofErr w:type="spellEnd"/>
      <w:r>
        <w:t xml:space="preserve"> район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от 09.01.2023 года №02</w:t>
      </w:r>
    </w:p>
    <w:p w:rsidR="002B61D1" w:rsidRDefault="002B61D1" w:rsidP="002B61D1">
      <w:pPr>
        <w:tabs>
          <w:tab w:val="left" w:pos="4040"/>
        </w:tabs>
      </w:pPr>
    </w:p>
    <w:p w:rsidR="002B61D1" w:rsidRDefault="002B61D1" w:rsidP="002B61D1">
      <w:pPr>
        <w:tabs>
          <w:tab w:val="left" w:pos="4040"/>
        </w:tabs>
      </w:pPr>
    </w:p>
    <w:p w:rsidR="002B61D1" w:rsidRDefault="002B61D1" w:rsidP="002B61D1">
      <w:pPr>
        <w:tabs>
          <w:tab w:val="left" w:pos="4040"/>
        </w:tabs>
      </w:pPr>
    </w:p>
    <w:p w:rsidR="002B61D1" w:rsidRPr="00AE5EBB" w:rsidRDefault="002B61D1" w:rsidP="002B61D1">
      <w:pPr>
        <w:tabs>
          <w:tab w:val="left" w:pos="4040"/>
        </w:tabs>
        <w:jc w:val="center"/>
        <w:rPr>
          <w:b/>
        </w:rPr>
      </w:pPr>
      <w:r w:rsidRPr="00AE5EBB">
        <w:rPr>
          <w:b/>
        </w:rPr>
        <w:t xml:space="preserve">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b/>
        </w:rPr>
        <w:t>Староарзаматовский</w:t>
      </w:r>
      <w:proofErr w:type="spellEnd"/>
      <w:r w:rsidRPr="00AE5EBB"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 w:rsidRPr="00AE5EBB">
        <w:rPr>
          <w:b/>
        </w:rPr>
        <w:t xml:space="preserve"> район Республики Башкортостан</w:t>
      </w:r>
    </w:p>
    <w:p w:rsidR="002B61D1" w:rsidRDefault="002B61D1" w:rsidP="002B61D1">
      <w:pPr>
        <w:tabs>
          <w:tab w:val="left" w:pos="4040"/>
        </w:tabs>
        <w:jc w:val="center"/>
      </w:pPr>
    </w:p>
    <w:p w:rsidR="002B61D1" w:rsidRDefault="002B61D1" w:rsidP="002B61D1">
      <w:pPr>
        <w:pStyle w:val="a3"/>
        <w:numPr>
          <w:ilvl w:val="0"/>
          <w:numId w:val="1"/>
        </w:numPr>
        <w:tabs>
          <w:tab w:val="left" w:pos="4040"/>
        </w:tabs>
        <w:jc w:val="center"/>
      </w:pPr>
      <w:r>
        <w:t>ОБЩИЕ ПОЛОЖЕНИЯ</w:t>
      </w:r>
    </w:p>
    <w:p w:rsidR="002B61D1" w:rsidRDefault="002B61D1" w:rsidP="002B61D1">
      <w:pPr>
        <w:tabs>
          <w:tab w:val="left" w:pos="4040"/>
        </w:tabs>
        <w:ind w:left="360"/>
      </w:pPr>
    </w:p>
    <w:p w:rsidR="002B61D1" w:rsidRDefault="002B61D1" w:rsidP="002B61D1">
      <w:pPr>
        <w:tabs>
          <w:tab w:val="left" w:pos="4040"/>
        </w:tabs>
        <w:jc w:val="both"/>
      </w:pPr>
      <w:r>
        <w:t xml:space="preserve">     1. </w:t>
      </w:r>
      <w:proofErr w:type="gramStart"/>
      <w: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>
        <w:t xml:space="preserve"> </w:t>
      </w:r>
      <w:proofErr w:type="gramStart"/>
      <w: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(далее - учреждения), муниципальным унитарным предприятиям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>
        <w:t>настоящими</w:t>
      </w:r>
      <w:proofErr w:type="gramEnd"/>
      <w:r>
        <w:t xml:space="preserve"> Порядком, а также порядок заключения соглашений о передаче указанных полномочий. </w:t>
      </w:r>
    </w:p>
    <w:p w:rsidR="002B61D1" w:rsidRDefault="002B61D1" w:rsidP="002B61D1">
      <w:pPr>
        <w:tabs>
          <w:tab w:val="left" w:pos="4040"/>
        </w:tabs>
        <w:jc w:val="both"/>
      </w:pPr>
      <w:r>
        <w:t xml:space="preserve">     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 </w:t>
      </w:r>
      <w:proofErr w:type="gramStart"/>
      <w: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>
        <w:t xml:space="preserve"> </w:t>
      </w:r>
      <w:proofErr w:type="gramStart"/>
      <w: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2B61D1" w:rsidRDefault="002B61D1" w:rsidP="002B61D1">
      <w:pPr>
        <w:tabs>
          <w:tab w:val="left" w:pos="4040"/>
        </w:tabs>
        <w:jc w:val="both"/>
      </w:pPr>
      <w:r>
        <w:lastRenderedPageBreak/>
        <w:t xml:space="preserve">      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2B61D1" w:rsidRDefault="002B61D1" w:rsidP="002B61D1">
      <w:pPr>
        <w:tabs>
          <w:tab w:val="left" w:pos="4040"/>
        </w:tabs>
        <w:jc w:val="both"/>
      </w:pPr>
      <w:r>
        <w:t xml:space="preserve">     4. </w:t>
      </w:r>
      <w:proofErr w:type="gramStart"/>
      <w: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2B61D1" w:rsidRDefault="002B61D1" w:rsidP="002B61D1">
      <w:pPr>
        <w:tabs>
          <w:tab w:val="left" w:pos="4040"/>
        </w:tabs>
        <w:jc w:val="both"/>
      </w:pPr>
      <w:r>
        <w:t xml:space="preserve">     5. </w:t>
      </w:r>
      <w:proofErr w:type="gramStart"/>
      <w: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2B61D1" w:rsidRDefault="002B61D1" w:rsidP="002B61D1">
      <w:pPr>
        <w:tabs>
          <w:tab w:val="left" w:pos="4040"/>
        </w:tabs>
      </w:pPr>
    </w:p>
    <w:p w:rsidR="002B61D1" w:rsidRDefault="002B61D1" w:rsidP="002B61D1">
      <w:pPr>
        <w:pStyle w:val="a3"/>
        <w:numPr>
          <w:ilvl w:val="0"/>
          <w:numId w:val="1"/>
        </w:numPr>
        <w:tabs>
          <w:tab w:val="left" w:pos="4040"/>
        </w:tabs>
        <w:jc w:val="center"/>
      </w:pPr>
      <w:r>
        <w:t>ОСУЩЕСТВЛЕНИЕ БЮДЖЕТНЫХ ИНВЕСТИЦИЙ</w:t>
      </w:r>
    </w:p>
    <w:p w:rsidR="002B61D1" w:rsidRDefault="002B61D1" w:rsidP="002B61D1">
      <w:pPr>
        <w:tabs>
          <w:tab w:val="left" w:pos="4040"/>
        </w:tabs>
        <w:jc w:val="center"/>
      </w:pPr>
    </w:p>
    <w:p w:rsidR="002B61D1" w:rsidRDefault="002B61D1" w:rsidP="002B61D1">
      <w:pPr>
        <w:tabs>
          <w:tab w:val="left" w:pos="4040"/>
        </w:tabs>
        <w:jc w:val="both"/>
      </w:pPr>
      <w:r>
        <w:t xml:space="preserve">    6. </w:t>
      </w:r>
      <w:proofErr w:type="gramStart"/>
      <w: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 а) муниципальными заказчиками, являющимися получателями средств бюджета сельского поселения;</w:t>
      </w:r>
      <w:proofErr w:type="gramEnd"/>
      <w:r>
        <w:t xml:space="preserve"> 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 </w:t>
      </w:r>
    </w:p>
    <w:p w:rsidR="002B61D1" w:rsidRDefault="002B61D1" w:rsidP="002B61D1">
      <w:pPr>
        <w:tabs>
          <w:tab w:val="left" w:pos="4040"/>
        </w:tabs>
        <w:jc w:val="both"/>
      </w:pPr>
      <w:r>
        <w:t xml:space="preserve">    7. </w:t>
      </w:r>
      <w:proofErr w:type="gramStart"/>
      <w: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2B61D1" w:rsidRDefault="002B61D1" w:rsidP="002B61D1">
      <w:pPr>
        <w:tabs>
          <w:tab w:val="left" w:pos="4040"/>
        </w:tabs>
        <w:jc w:val="both"/>
      </w:pPr>
      <w:r>
        <w:t xml:space="preserve">     8. </w:t>
      </w:r>
      <w:proofErr w:type="gramStart"/>
      <w: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>
        <w:t>концеденту</w:t>
      </w:r>
      <w:proofErr w:type="spellEnd"/>
      <w: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 </w:t>
      </w:r>
      <w:proofErr w:type="gramEnd"/>
    </w:p>
    <w:p w:rsidR="002B61D1" w:rsidRDefault="002B61D1" w:rsidP="002B61D1">
      <w:pPr>
        <w:tabs>
          <w:tab w:val="left" w:pos="4040"/>
        </w:tabs>
        <w:jc w:val="both"/>
      </w:pPr>
      <w:r>
        <w:t xml:space="preserve">    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</w:t>
      </w:r>
      <w:r>
        <w:lastRenderedPageBreak/>
        <w:t xml:space="preserve">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spellStart"/>
      <w:r>
        <w:t>Староарзаматовский</w:t>
      </w:r>
      <w:proofErr w:type="spellEnd"/>
      <w:r>
        <w:t xml:space="preserve"> сельсовет муниципального района.</w:t>
      </w:r>
    </w:p>
    <w:p w:rsidR="002B61D1" w:rsidRDefault="002B61D1" w:rsidP="002B61D1">
      <w:pPr>
        <w:tabs>
          <w:tab w:val="left" w:pos="4040"/>
        </w:tabs>
        <w:jc w:val="both"/>
      </w:pPr>
      <w:r>
        <w:t xml:space="preserve">     </w:t>
      </w:r>
      <w:proofErr w:type="gramStart"/>
      <w: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2B61D1" w:rsidRDefault="002B61D1" w:rsidP="002B61D1">
      <w:pPr>
        <w:tabs>
          <w:tab w:val="left" w:pos="4040"/>
        </w:tabs>
        <w:jc w:val="both"/>
      </w:pPr>
      <w:r>
        <w:t xml:space="preserve">     </w:t>
      </w:r>
      <w:proofErr w:type="gramStart"/>
      <w: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2B61D1" w:rsidRDefault="002B61D1" w:rsidP="002B61D1">
      <w:pPr>
        <w:tabs>
          <w:tab w:val="left" w:pos="4040"/>
        </w:tabs>
        <w:jc w:val="both"/>
      </w:pPr>
      <w:r>
        <w:t xml:space="preserve">     10. </w:t>
      </w:r>
      <w:proofErr w:type="gramStart"/>
      <w:r>
        <w:t>Соглашение о передаче полномочий может быть заключено в отношении нескольких объектов и должно содержать в том числе: 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</w:t>
      </w:r>
      <w:proofErr w:type="gramEnd"/>
      <w:r>
        <w:t xml:space="preserve"> </w:t>
      </w:r>
      <w:proofErr w:type="gramStart"/>
      <w:r>
        <w:t>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</w:t>
      </w:r>
      <w:proofErr w:type="gramEnd"/>
      <w:r>
        <w:t xml:space="preserve"> Объем бюджетных инвестиций должен соответствовать объему бюджетных ассигнований на осуществление бюджетных инвестиций; 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 в) ответственность учреждений и предприятий за неисполнение или ненадлежащее исполнение переданных им полномочий; 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 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2B61D1" w:rsidRDefault="002B61D1" w:rsidP="002B61D1">
      <w:pPr>
        <w:tabs>
          <w:tab w:val="left" w:pos="4040"/>
        </w:tabs>
        <w:jc w:val="both"/>
      </w:pPr>
      <w:r>
        <w:t xml:space="preserve">      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2B61D1" w:rsidRDefault="002B61D1" w:rsidP="002B61D1">
      <w:pPr>
        <w:tabs>
          <w:tab w:val="left" w:pos="4040"/>
        </w:tabs>
        <w:jc w:val="both"/>
      </w:pPr>
      <w:r>
        <w:lastRenderedPageBreak/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 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>
        <w:t>концедентом</w:t>
      </w:r>
      <w:proofErr w:type="spellEnd"/>
      <w:r>
        <w:t xml:space="preserve">; 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 </w:t>
      </w:r>
    </w:p>
    <w:p w:rsidR="002B61D1" w:rsidRDefault="002B61D1" w:rsidP="002B61D1">
      <w:pPr>
        <w:tabs>
          <w:tab w:val="left" w:pos="4040"/>
        </w:tabs>
        <w:jc w:val="both"/>
      </w:pPr>
      <w:r>
        <w:t xml:space="preserve">     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>
        <w:t>с даты подписания</w:t>
      </w:r>
      <w:proofErr w:type="gramEnd"/>
      <w: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 </w:t>
      </w:r>
    </w:p>
    <w:p w:rsidR="005222D2" w:rsidRDefault="002B61D1" w:rsidP="002B61D1">
      <w:r>
        <w:t xml:space="preserve">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bookmarkStart w:id="0" w:name="_GoBack"/>
      <w:bookmarkEnd w:id="0"/>
    </w:p>
    <w:sectPr w:rsidR="0052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A0D"/>
    <w:multiLevelType w:val="hybridMultilevel"/>
    <w:tmpl w:val="FF006070"/>
    <w:lvl w:ilvl="0" w:tplc="1F92A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7"/>
    <w:rsid w:val="00032E97"/>
    <w:rsid w:val="002B61D1"/>
    <w:rsid w:val="005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12433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2023-01-09T11:09:00Z</dcterms:created>
  <dcterms:modified xsi:type="dcterms:W3CDTF">2023-01-09T11:09:00Z</dcterms:modified>
</cp:coreProperties>
</file>